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ITALIA LEADER IN EUROPA PER CONGRESSI OSPITATI NEL 2023. IL REPORT ANNUALE DI ICCA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Grande scalata per l’Italia, che in soli cinque anni passa dal sesto al primo posto e raggiunge la vetta d’Europa per numero di congressi ospitati. </w:t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Secondo il report annuale di ICCA - International Congress and Convention Association, il nostro Paese è la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prima destinazione in Europa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 congressi e convegni ospitati nell’anno 2023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seguita da Spagna, Francia, Germania e Regno Unito. Una prima volta assoluta per l’Italia, risultato di anni di crescita del settore e di una scalata progressiva dalla sesta posizione delle annate 2018/19, alla seconda del 2022, fino all’ambita prima posizione del 2023. 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Nelle classifiche diffuse dall’Associazione Internazionale, l’Italia è anche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seconda nel mondo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dietro agli Stati Uniti, e l’unica nazione tra le prime che ha aumentato il numero dei congressi ospitati rispetto al 2022 (tutte le altre hanno diminuito o mantenuto il numero dei propri congressi). Sette le città italiane nella top 100 mondiale, con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Roma al 7’ posto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per la prima volta (119 conferenze), seguita da Milano (29’), Bologna (47’), Firenze (60’), Napoli (66’), Torino (78’) e Venezia (84’). 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“Un risultato storico per il settore e per il Paese, merito di strategie coordinate di alta qualità, come l’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Italian Knowledge Leaders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programma che valorizza le eccellenze italiane coinvolgendole nel mercato dei convegni internazionali”, ha dichiarato la Presidente di Convention Bureau Italia, Carlotta Ferrari. Il progetto, che abbina i poli accademici, scientifici e professionali alla presenza diffusa di Convention Bureau e infrastrutture idonee, ha contribuito all’aumento del potere di attrazione dell’Italia, prima in Europa ad accrescere la propria influenza all’interno delle associazioni internazionali, con un +86 board members rispetto al 2022.</w:t>
        <w:br w:type="textWrapping"/>
        <w:t xml:space="preserve">Italian Knowledge Leaders è il progetto di Convention Bureau Italia in partnership con ENIT e CRU nato contestualmente alla crisi del Covid, con l’obiettivo di investire sulle professionalità in grado di attrarre nel Paese i grandi congressi associativi. Un progetto sostenuto dal Ministero del Turismo, che vede la presenza</w:t>
      </w: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, nell’Advisory Board,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Alessandra Albarelli, Direttrice Generale di Riva del Garda Fierecongressi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Il risultato ottenuto dall’Italia è frutto di una rinnovata credibilità internazionale, che nel 2023 ha dato risultati positivi anche 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Riva del Garda Fierecongressi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Dei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153 eventi totali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102 organizzati a Riva del Garda (al Centro Congressi e a Spiaggia Olivi) e 51 a ITAS Forum a Trento, sono stati ben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 gli eventi congressuali internazionali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che hanno raggiunto il Trentino (il 20% del totale).</w:t>
      </w:r>
    </w:p>
    <w:p w:rsidR="00000000" w:rsidDel="00000000" w:rsidP="00000000" w:rsidRDefault="00000000" w:rsidRPr="00000000" w14:paraId="00000009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Riva del Garda, 4 settembre 2024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850.3937007874016" w:footer="283.4645669291338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-141.73228346456688" w:right="0" w:hanging="850.3937007874015"/>
      <w:jc w:val="left"/>
      <w:rPr/>
    </w:pPr>
    <w:r w:rsidDel="00000000" w:rsidR="00000000" w:rsidRPr="00000000">
      <w:rPr/>
      <w:drawing>
        <wp:inline distB="114300" distT="114300" distL="114300" distR="114300">
          <wp:extent cx="7138035" cy="600075"/>
          <wp:effectExtent b="0" l="0" r="0" t="0"/>
          <wp:docPr id="3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11738" l="0" r="0" t="11739"/>
                  <a:stretch>
                    <a:fillRect/>
                  </a:stretch>
                </pic:blipFill>
                <pic:spPr>
                  <a:xfrm>
                    <a:off x="0" y="0"/>
                    <a:ext cx="7138035" cy="6000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421922" cy="740658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8388" l="0" r="0" t="8390"/>
                  <a:stretch>
                    <a:fillRect/>
                  </a:stretch>
                </pic:blipFill>
                <pic:spPr>
                  <a:xfrm>
                    <a:off x="0" y="0"/>
                    <a:ext cx="2421922" cy="74065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76185" cy="29146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72195" y="3648555"/>
                        <a:ext cx="7547610" cy="26289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-723899</wp:posOffset>
              </wp:positionH>
              <wp:positionV relativeFrom="paragraph">
                <wp:posOffset>-444499</wp:posOffset>
              </wp:positionV>
              <wp:extent cx="7576185" cy="29146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76185" cy="2914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